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71" w:rsidRDefault="001B11FF">
      <w:pPr>
        <w:rPr>
          <w:lang w:val="uk-UA"/>
        </w:rPr>
      </w:pPr>
      <w:r w:rsidRPr="001B11FF"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34.85pt;margin-top:-11.9pt;width:80.85pt;height:29pt;z-index:251660288;mso-width-relative:margin;mso-height-relative:margin" stroked="f">
            <v:textbox>
              <w:txbxContent>
                <w:p w:rsidR="00771A71" w:rsidRPr="00771A71" w:rsidRDefault="00771A71">
                  <w:pPr>
                    <w:rPr>
                      <w:sz w:val="28"/>
                      <w:szCs w:val="28"/>
                    </w:rPr>
                  </w:pPr>
                  <w:r w:rsidRPr="00771A71">
                    <w:rPr>
                      <w:sz w:val="28"/>
                      <w:szCs w:val="28"/>
                      <w:lang w:val="uk-UA"/>
                    </w:rPr>
                    <w:t xml:space="preserve">Діаграма </w:t>
                  </w:r>
                  <w:r w:rsidR="00CA202D">
                    <w:rPr>
                      <w:sz w:val="28"/>
                      <w:szCs w:val="28"/>
                      <w:lang w:val="uk-UA"/>
                    </w:rPr>
                    <w:t>9</w:t>
                  </w:r>
                </w:p>
              </w:txbxContent>
            </v:textbox>
          </v:shape>
        </w:pict>
      </w:r>
    </w:p>
    <w:p w:rsidR="00B45104" w:rsidRDefault="00771A71">
      <w:r w:rsidRPr="00771A71">
        <w:rPr>
          <w:noProof/>
          <w:lang w:eastAsia="ru-RU"/>
        </w:rPr>
        <w:drawing>
          <wp:inline distT="0" distB="0" distL="0" distR="0">
            <wp:extent cx="9321800" cy="4775200"/>
            <wp:effectExtent l="19050" t="0" r="12700" b="63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B45104" w:rsidSect="00771A7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1A71"/>
    <w:rsid w:val="000A5C18"/>
    <w:rsid w:val="001B11FF"/>
    <w:rsid w:val="003E3885"/>
    <w:rsid w:val="004E4E20"/>
    <w:rsid w:val="006453B6"/>
    <w:rsid w:val="00771A71"/>
    <w:rsid w:val="00B45104"/>
    <w:rsid w:val="00CA202D"/>
    <w:rsid w:val="00E40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1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1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Robota\2017\&#1047;&#1074;&#1110;&#1090;%20&#1074;&#1080;&#1082;&#1086;&#1085;&#1072;&#1074;&#1095;&#1080;&#1093;%20&#1086;&#1088;&#1075;&#1072;&#1085;&#1110;&#1074;\&#1076;&#1110;&#1072;&#1075;&#1088;&#1072;&#1084;&#1080;\&#1044;&#1110;&#1072;&#1075;&#1088;&#1072;&#1084;&#1080;%20%20&#1079;&#1072;%202016%20-2017%20&#1088;&#1110;&#1082;%20&#1074;&#1080;&#1076;&#1072;&#1090;&#1082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Виконання</a:t>
            </a:r>
            <a:r>
              <a:rPr lang="ru-RU" sz="1200" baseline="0"/>
              <a:t> бюджету м. Кузнецовськ по видатках за</a:t>
            </a:r>
            <a:r>
              <a:rPr lang="en-US" sz="1200" baseline="0"/>
              <a:t> 7 </a:t>
            </a:r>
            <a:r>
              <a:rPr lang="uk-UA" sz="1200" baseline="0"/>
              <a:t>місяців</a:t>
            </a:r>
            <a:r>
              <a:rPr lang="ru-RU" sz="1200" baseline="0"/>
              <a:t> 201</a:t>
            </a:r>
            <a:r>
              <a:rPr lang="en-US" sz="1200" baseline="0"/>
              <a:t>7</a:t>
            </a:r>
            <a:r>
              <a:rPr lang="ru-RU" sz="1200" baseline="0"/>
              <a:t> року за галузевою структурою                                 (всього видатків - 249 819,4 тис.грн.)</a:t>
            </a:r>
            <a:endParaRPr lang="ru-RU" sz="1200"/>
          </a:p>
        </c:rich>
      </c:tx>
      <c:layout>
        <c:manualLayout>
          <c:xMode val="edge"/>
          <c:yMode val="edge"/>
          <c:x val="0.15052269393797321"/>
          <c:y val="3.4120311378445012E-4"/>
        </c:manualLayout>
      </c:layout>
    </c:title>
    <c:plotArea>
      <c:layout>
        <c:manualLayout>
          <c:layoutTarget val="inner"/>
          <c:xMode val="edge"/>
          <c:yMode val="edge"/>
          <c:x val="0.29695808345476593"/>
          <c:y val="0.2660080014689763"/>
          <c:w val="0.38713470000360728"/>
          <c:h val="0.72152617726759294"/>
        </c:manualLayout>
      </c:layout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6.2437139751513646E-2"/>
                  <c:y val="-1.9250043123355053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"/>
              <c:layout>
                <c:manualLayout>
                  <c:x val="1.8154505504951561E-2"/>
                  <c:y val="-9.8370488915612661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2"/>
              <c:layout>
                <c:manualLayout>
                  <c:x val="2.6989632104387398E-2"/>
                  <c:y val="-2.5662569484244755E-3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3"/>
              <c:layout>
                <c:manualLayout>
                  <c:x val="6.3390477891942007E-2"/>
                  <c:y val="8.9157286177712777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4"/>
              <c:layout>
                <c:manualLayout>
                  <c:x val="0.18503095512706824"/>
                  <c:y val="-2.6751615039200604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5"/>
              <c:layout>
                <c:manualLayout>
                  <c:x val="-8.4857125865235611E-2"/>
                  <c:y val="-5.2346745160446746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6"/>
              <c:layout>
                <c:manualLayout>
                  <c:x val="-6.3378416367178614E-2"/>
                  <c:y val="5.3710444754809038E-2"/>
                </c:manualLayout>
              </c:layout>
              <c:tx>
                <c:rich>
                  <a:bodyPr rot="0"/>
                  <a:lstStyle/>
                  <a:p>
                    <a:pPr>
                      <a:defRPr sz="900"/>
                    </a:pPr>
                    <a:r>
                      <a:rPr lang="ru-RU"/>
                      <a:t>Видатки на житлово-комунальне господарство, ремонт доріг, внески у статутний </a:t>
                    </a:r>
                    <a:r>
                      <a:rPr lang="uk-UA"/>
                      <a:t>капітал</a:t>
                    </a:r>
                    <a:r>
                      <a:rPr lang="ru-RU"/>
                      <a:t>
24 761,0
10%</a:t>
                    </a:r>
                  </a:p>
                </c:rich>
              </c:tx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showLegendKey val="1"/>
              <c:showVal val="1"/>
              <c:showCatName val="1"/>
              <c:showPercent val="1"/>
              <c:separator>
</c:separator>
            </c:dLbl>
            <c:dLbl>
              <c:idx val="7"/>
              <c:layout>
                <c:manualLayout>
                  <c:x val="-0.10420715537417359"/>
                  <c:y val="-4.5002983547510887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8"/>
              <c:layout>
                <c:manualLayout>
                  <c:x val="4.0150666357445838E-2"/>
                  <c:y val="-4.9622461981893963E-3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0"/>
              <c:layout>
                <c:manualLayout>
                  <c:x val="0.152225040824082"/>
                  <c:y val="6.9811314455505286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2"/>
              <c:layout>
                <c:manualLayout>
                  <c:x val="0.11069637511771933"/>
                  <c:y val="3.853107956061531E-4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5"/>
              <c:layout>
                <c:manualLayout>
                  <c:x val="3.4219023436856254E-2"/>
                  <c:y val="3.8264098674394044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7"/>
              <c:layout>
                <c:manualLayout>
                  <c:x val="4.4195456889363827E-2"/>
                  <c:y val="6.2550496239254724E-2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8"/>
              <c:layout>
                <c:manualLayout>
                  <c:x val="-0.20354172206083321"/>
                  <c:y val="0.24538596655858286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dLbl>
              <c:idx val="19"/>
              <c:layout>
                <c:manualLayout>
                  <c:x val="-0.21487451142027722"/>
                  <c:y val="0.15953817377891924"/>
                </c:manualLayout>
              </c:layout>
              <c:spPr>
                <a:ln>
                  <a:solidFill>
                    <a:sysClr val="window" lastClr="FFFFFF">
                      <a:lumMod val="75000"/>
                    </a:sysClr>
                  </a:solidFill>
                </a:ln>
              </c:spPr>
              <c:txPr>
                <a:bodyPr rot="0"/>
                <a:lstStyle/>
                <a:p>
                  <a:pPr>
                    <a:defRPr sz="900"/>
                  </a:pPr>
                  <a:endParaRPr lang="ru-RU"/>
                </a:p>
              </c:txPr>
              <c:showLegendKey val="1"/>
              <c:showVal val="1"/>
              <c:showCatName val="1"/>
              <c:showPercent val="1"/>
              <c:separator>
</c:separator>
            </c:dLbl>
            <c:spPr>
              <a:ln>
                <a:solidFill>
                  <a:sysClr val="window" lastClr="FFFFFF">
                    <a:lumMod val="75000"/>
                  </a:sysClr>
                </a:solidFill>
              </a:ln>
            </c:spPr>
            <c:txPr>
              <a:bodyPr rot="0"/>
              <a:lstStyle/>
              <a:p>
                <a:pPr>
                  <a:defRPr sz="800"/>
                </a:pPr>
                <a:endParaRPr lang="ru-RU"/>
              </a:p>
            </c:txPr>
            <c:showLegendKey val="1"/>
            <c:showVal val="1"/>
            <c:showCatName val="1"/>
            <c:showPercent val="1"/>
            <c:separator>
</c:separator>
            <c:showLeaderLines val="1"/>
          </c:dLbls>
          <c:cat>
            <c:strRef>
              <c:f>'2017 структура '!$A$5:$A$14</c:f>
              <c:strCache>
                <c:ptCount val="10"/>
                <c:pt idx="0">
                  <c:v>Соціальний захист та соціальне забезпечення</c:v>
                </c:pt>
                <c:pt idx="1">
                  <c:v>Культура та мистецтво</c:v>
                </c:pt>
                <c:pt idx="2">
                  <c:v>Фізична культура і спорт</c:v>
                </c:pt>
                <c:pt idx="3">
                  <c:v>Органи місцевого самоврядування</c:v>
                </c:pt>
                <c:pt idx="4">
                  <c:v>Освіта</c:v>
                </c:pt>
                <c:pt idx="5">
                  <c:v>Охорона здоров'я</c:v>
                </c:pt>
                <c:pt idx="6">
                  <c:v>Видатки на житлово-комунальне господарство, ремонт доріг, внески у статутний фонд</c:v>
                </c:pt>
                <c:pt idx="7">
                  <c:v>Капітальні вкладення</c:v>
                </c:pt>
                <c:pt idx="8">
                  <c:v>Кошти, що передаються до Державного бюджету (реверсна дотація)</c:v>
                </c:pt>
                <c:pt idx="9">
                  <c:v>Інші видатки</c:v>
                </c:pt>
              </c:strCache>
            </c:strRef>
          </c:cat>
          <c:val>
            <c:numRef>
              <c:f>'2017 структура '!$B$5:$B$14</c:f>
              <c:numCache>
                <c:formatCode>#,##0.0</c:formatCode>
                <c:ptCount val="10"/>
                <c:pt idx="0">
                  <c:v>44733.5</c:v>
                </c:pt>
                <c:pt idx="1">
                  <c:v>6290.8</c:v>
                </c:pt>
                <c:pt idx="2">
                  <c:v>1004.2</c:v>
                </c:pt>
                <c:pt idx="3">
                  <c:v>14530.2</c:v>
                </c:pt>
                <c:pt idx="4">
                  <c:v>90766.399999999994</c:v>
                </c:pt>
                <c:pt idx="5">
                  <c:v>36161</c:v>
                </c:pt>
                <c:pt idx="6">
                  <c:v>24761</c:v>
                </c:pt>
                <c:pt idx="7">
                  <c:v>5347.2</c:v>
                </c:pt>
                <c:pt idx="8">
                  <c:v>21586.2</c:v>
                </c:pt>
                <c:pt idx="9">
                  <c:v>4638.9000000000005</c:v>
                </c:pt>
              </c:numCache>
            </c:numRef>
          </c:val>
        </c:ser>
        <c:ser>
          <c:idx val="1"/>
          <c:order val="1"/>
          <c:dLbls>
            <c:showCatName val="1"/>
            <c:showPercent val="1"/>
            <c:showLeaderLines val="1"/>
          </c:dLbls>
          <c:cat>
            <c:strRef>
              <c:f>'2017 структура '!$A$5:$A$14</c:f>
              <c:strCache>
                <c:ptCount val="10"/>
                <c:pt idx="0">
                  <c:v>Соціальний захист та соціальне забезпечення</c:v>
                </c:pt>
                <c:pt idx="1">
                  <c:v>Культура та мистецтво</c:v>
                </c:pt>
                <c:pt idx="2">
                  <c:v>Фізична культура і спорт</c:v>
                </c:pt>
                <c:pt idx="3">
                  <c:v>Органи місцевого самоврядування</c:v>
                </c:pt>
                <c:pt idx="4">
                  <c:v>Освіта</c:v>
                </c:pt>
                <c:pt idx="5">
                  <c:v>Охорона здоров'я</c:v>
                </c:pt>
                <c:pt idx="6">
                  <c:v>Видатки на житлово-комунальне господарство, ремонт доріг, внески у статутний фонд</c:v>
                </c:pt>
                <c:pt idx="7">
                  <c:v>Капітальні вкладення</c:v>
                </c:pt>
                <c:pt idx="8">
                  <c:v>Кошти, що передаються до Державного бюджету (реверсна дотація)</c:v>
                </c:pt>
                <c:pt idx="9">
                  <c:v>Інші видатки</c:v>
                </c:pt>
              </c:strCache>
            </c:strRef>
          </c:cat>
          <c:val>
            <c:numRef>
              <c:f>'2017 структура '!$C$5:$C$14</c:f>
              <c:numCache>
                <c:formatCode>0.00%</c:formatCode>
                <c:ptCount val="10"/>
                <c:pt idx="0">
                  <c:v>0.17906335536791795</c:v>
                </c:pt>
                <c:pt idx="1">
                  <c:v>2.5181391036885048E-2</c:v>
                </c:pt>
                <c:pt idx="2">
                  <c:v>4.0197038340497211E-3</c:v>
                </c:pt>
                <c:pt idx="3">
                  <c:v>5.8162816818869971E-2</c:v>
                </c:pt>
                <c:pt idx="4">
                  <c:v>0.36332806819646579</c:v>
                </c:pt>
                <c:pt idx="5">
                  <c:v>0.14474856636434175</c:v>
                </c:pt>
                <c:pt idx="6">
                  <c:v>9.911560111024216E-2</c:v>
                </c:pt>
                <c:pt idx="7">
                  <c:v>2.1404262439186094E-2</c:v>
                </c:pt>
                <c:pt idx="8">
                  <c:v>8.6407220576144209E-2</c:v>
                </c:pt>
                <c:pt idx="9">
                  <c:v>1.8569014255898467E-2</c:v>
                </c:pt>
              </c:numCache>
            </c:numRef>
          </c:val>
        </c:ser>
        <c:firstSliceAng val="0"/>
      </c:pieChart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3</cp:revision>
  <dcterms:created xsi:type="dcterms:W3CDTF">2017-09-21T09:20:00Z</dcterms:created>
  <dcterms:modified xsi:type="dcterms:W3CDTF">2017-09-22T06:19:00Z</dcterms:modified>
</cp:coreProperties>
</file>